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E2E" w:rsidRDefault="00310E2E">
      <w:pPr>
        <w:pStyle w:val="a8"/>
        <w:tabs>
          <w:tab w:val="left" w:pos="8787"/>
        </w:tabs>
        <w:ind w:firstLine="709"/>
        <w:jc w:val="right"/>
        <w:rPr>
          <w:b w:val="0"/>
          <w:sz w:val="28"/>
          <w:szCs w:val="28"/>
          <w:u w:val="single"/>
        </w:rPr>
      </w:pPr>
    </w:p>
    <w:p w:rsidR="00310E2E" w:rsidRDefault="0014050A">
      <w:pPr>
        <w:pStyle w:val="a8"/>
        <w:tabs>
          <w:tab w:val="left" w:pos="8787"/>
        </w:tabs>
        <w:ind w:firstLine="709"/>
        <w:rPr>
          <w:sz w:val="28"/>
          <w:szCs w:val="28"/>
        </w:rPr>
      </w:pPr>
      <w:r>
        <w:rPr>
          <w:sz w:val="28"/>
          <w:szCs w:val="28"/>
        </w:rPr>
        <w:t xml:space="preserve">Основные направления бюджетной и налоговой политики муниципального образования </w:t>
      </w:r>
    </w:p>
    <w:p w:rsidR="00310E2E" w:rsidRDefault="0014050A">
      <w:pPr>
        <w:pStyle w:val="a8"/>
        <w:tabs>
          <w:tab w:val="left" w:pos="8787"/>
        </w:tabs>
        <w:ind w:firstLine="709"/>
        <w:rPr>
          <w:sz w:val="28"/>
          <w:szCs w:val="28"/>
        </w:rPr>
      </w:pPr>
      <w:r>
        <w:rPr>
          <w:sz w:val="28"/>
          <w:szCs w:val="28"/>
        </w:rPr>
        <w:t>«Звениговский</w:t>
      </w:r>
      <w:bookmarkStart w:id="0" w:name="_GoBack"/>
      <w:bookmarkEnd w:id="0"/>
      <w:r>
        <w:rPr>
          <w:sz w:val="28"/>
          <w:szCs w:val="28"/>
        </w:rPr>
        <w:t>муниципальныйрайон»</w:t>
      </w:r>
    </w:p>
    <w:p w:rsidR="00310E2E" w:rsidRDefault="0014050A">
      <w:pPr>
        <w:pStyle w:val="a8"/>
        <w:tabs>
          <w:tab w:val="left" w:pos="8787"/>
        </w:tabs>
        <w:ind w:firstLine="709"/>
        <w:rPr>
          <w:sz w:val="28"/>
          <w:szCs w:val="28"/>
        </w:rPr>
      </w:pPr>
      <w:r>
        <w:rPr>
          <w:sz w:val="28"/>
          <w:szCs w:val="28"/>
        </w:rPr>
        <w:t>на 2019 год и на плановый период 2020 и 2021 годов</w:t>
      </w:r>
    </w:p>
    <w:p w:rsidR="00310E2E" w:rsidRDefault="00310E2E">
      <w:pPr>
        <w:pStyle w:val="a8"/>
        <w:tabs>
          <w:tab w:val="left" w:pos="8787"/>
        </w:tabs>
        <w:ind w:firstLine="709"/>
        <w:rPr>
          <w:sz w:val="28"/>
          <w:szCs w:val="28"/>
          <w:highlight w:val="yellow"/>
        </w:rPr>
      </w:pPr>
    </w:p>
    <w:p w:rsidR="00310E2E" w:rsidRDefault="0014050A">
      <w:pPr>
        <w:spacing w:line="240" w:lineRule="auto"/>
        <w:ind w:firstLine="709"/>
        <w:jc w:val="both"/>
      </w:pPr>
      <w:proofErr w:type="gramStart"/>
      <w:r>
        <w:t>Целью основных направлений бюджетной политики является описание условий, принимаемых для составления бюджета муниципального образования «</w:t>
      </w:r>
      <w:proofErr w:type="spellStart"/>
      <w:r>
        <w:t>Звениговский</w:t>
      </w:r>
      <w:proofErr w:type="spellEnd"/>
      <w:r>
        <w:t xml:space="preserve"> муниципальный район» на </w:t>
      </w:r>
      <w:r w:rsidR="004929E3">
        <w:t>текущий и плановые периоды</w:t>
      </w:r>
      <w:r>
        <w:t>,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roofErr w:type="gramEnd"/>
    </w:p>
    <w:p w:rsidR="00310E2E" w:rsidRDefault="0014050A">
      <w:pPr>
        <w:spacing w:line="240" w:lineRule="auto"/>
        <w:ind w:firstLine="709"/>
        <w:jc w:val="both"/>
        <w:rPr>
          <w:szCs w:val="28"/>
        </w:rPr>
      </w:pPr>
      <w:r>
        <w:rPr>
          <w:szCs w:val="28"/>
        </w:rPr>
        <w:t xml:space="preserve">Основными задачами бюджетной политики в муниципальном образовании «Звениговский муниципальный район» на предстоящий период остаются: </w:t>
      </w:r>
    </w:p>
    <w:p w:rsidR="00310E2E" w:rsidRDefault="0014050A">
      <w:pPr>
        <w:widowControl w:val="0"/>
        <w:spacing w:line="240" w:lineRule="auto"/>
        <w:ind w:firstLine="709"/>
        <w:jc w:val="both"/>
        <w:rPr>
          <w:rFonts w:cs="Calibri"/>
        </w:rPr>
      </w:pPr>
      <w:r>
        <w:rPr>
          <w:rFonts w:cs="Calibri"/>
        </w:rPr>
        <w:t xml:space="preserve">обеспечение сбалансированности и устойчивости бюджетной системы в </w:t>
      </w:r>
      <w:r>
        <w:t>муниципальном образовании «Звениговский муниципальный район»</w:t>
      </w:r>
      <w:r>
        <w:rPr>
          <w:rFonts w:cs="Calibri"/>
        </w:rPr>
        <w:t>;</w:t>
      </w:r>
    </w:p>
    <w:p w:rsidR="00310E2E" w:rsidRDefault="0014050A">
      <w:pPr>
        <w:widowControl w:val="0"/>
        <w:spacing w:line="240" w:lineRule="auto"/>
        <w:ind w:firstLine="709"/>
        <w:jc w:val="both"/>
      </w:pPr>
      <w:r>
        <w:rPr>
          <w:szCs w:val="28"/>
        </w:rPr>
        <w:t xml:space="preserve">реализация мероприятий, направленных на достижение национальных целей развития Российской Федерации на период </w:t>
      </w:r>
      <w:r>
        <w:rPr>
          <w:szCs w:val="28"/>
        </w:rPr>
        <w:br/>
        <w:t xml:space="preserve">до 2024 года в соответствии с </w:t>
      </w:r>
      <w:hyperlink r:id="rId12">
        <w:r w:rsidRPr="0014050A">
          <w:rPr>
            <w:rStyle w:val="-"/>
            <w:color w:val="000000" w:themeColor="text1"/>
            <w:szCs w:val="28"/>
            <w:u w:val="none"/>
          </w:rPr>
          <w:t>Указом</w:t>
        </w:r>
      </w:hyperlink>
      <w:r>
        <w:rPr>
          <w:szCs w:val="28"/>
        </w:rPr>
        <w:t xml:space="preserve">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310E2E" w:rsidRDefault="0014050A">
      <w:pPr>
        <w:spacing w:line="240" w:lineRule="auto"/>
        <w:ind w:firstLine="709"/>
        <w:jc w:val="both"/>
        <w:rPr>
          <w:szCs w:val="28"/>
        </w:rPr>
      </w:pPr>
      <w:r>
        <w:rPr>
          <w:szCs w:val="28"/>
        </w:rPr>
        <w:t>повышение эффективности и результативности имеющихся инструментов программно-целевого управления и бюджетирования;</w:t>
      </w:r>
    </w:p>
    <w:p w:rsidR="00310E2E" w:rsidRDefault="0014050A">
      <w:pPr>
        <w:spacing w:line="240" w:lineRule="auto"/>
        <w:ind w:firstLine="709"/>
        <w:jc w:val="both"/>
        <w:rPr>
          <w:szCs w:val="28"/>
        </w:rPr>
      </w:pPr>
      <w:r>
        <w:rPr>
          <w:szCs w:val="28"/>
        </w:rPr>
        <w:t>создание условий для повышения качества предоставления муниципальных услуг;</w:t>
      </w:r>
    </w:p>
    <w:p w:rsidR="00310E2E" w:rsidRDefault="0014050A">
      <w:pPr>
        <w:spacing w:line="240" w:lineRule="auto"/>
        <w:ind w:firstLine="709"/>
        <w:jc w:val="both"/>
        <w:rPr>
          <w:szCs w:val="28"/>
        </w:rPr>
      </w:pPr>
      <w:r>
        <w:rPr>
          <w:szCs w:val="28"/>
        </w:rPr>
        <w:t>совершенствование процедур предварительного и последующего контроля, в том числе уточнение порядка и содержания мер принуждения к нарушениям в финансово-бюджетной сфере;</w:t>
      </w:r>
    </w:p>
    <w:p w:rsidR="00310E2E" w:rsidRDefault="0014050A">
      <w:pPr>
        <w:widowControl w:val="0"/>
        <w:spacing w:line="240" w:lineRule="auto"/>
        <w:ind w:firstLine="709"/>
        <w:jc w:val="both"/>
        <w:rPr>
          <w:szCs w:val="28"/>
        </w:rPr>
      </w:pPr>
      <w:r>
        <w:rPr>
          <w:szCs w:val="28"/>
        </w:rPr>
        <w:t>повышение прозрачности, открытости и доступа для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310E2E" w:rsidRDefault="00310E2E">
      <w:pPr>
        <w:spacing w:line="240" w:lineRule="auto"/>
        <w:ind w:firstLine="0"/>
        <w:jc w:val="both"/>
      </w:pPr>
    </w:p>
    <w:p w:rsidR="00310E2E" w:rsidRDefault="00310E2E">
      <w:pPr>
        <w:spacing w:line="240" w:lineRule="auto"/>
        <w:ind w:firstLine="709"/>
        <w:jc w:val="center"/>
        <w:rPr>
          <w:b/>
          <w:highlight w:val="yellow"/>
        </w:rPr>
      </w:pPr>
    </w:p>
    <w:p w:rsidR="00310E2E" w:rsidRDefault="0014050A">
      <w:pPr>
        <w:spacing w:line="240" w:lineRule="auto"/>
        <w:ind w:firstLine="709"/>
        <w:jc w:val="center"/>
        <w:rPr>
          <w:b/>
        </w:rPr>
      </w:pPr>
      <w:r>
        <w:rPr>
          <w:b/>
        </w:rPr>
        <w:t xml:space="preserve">Налоговая политика </w:t>
      </w:r>
    </w:p>
    <w:p w:rsidR="00310E2E" w:rsidRDefault="0014050A">
      <w:pPr>
        <w:spacing w:line="240" w:lineRule="auto"/>
        <w:ind w:firstLine="709"/>
        <w:jc w:val="center"/>
        <w:rPr>
          <w:b/>
        </w:rPr>
      </w:pPr>
      <w:r>
        <w:rPr>
          <w:b/>
        </w:rPr>
        <w:t>в области доходов от налогов, сборов и платежей</w:t>
      </w:r>
    </w:p>
    <w:p w:rsidR="00310E2E" w:rsidRDefault="00310E2E">
      <w:pPr>
        <w:spacing w:line="240" w:lineRule="auto"/>
        <w:jc w:val="both"/>
        <w:rPr>
          <w:szCs w:val="28"/>
        </w:rPr>
      </w:pPr>
    </w:p>
    <w:p w:rsidR="00310E2E" w:rsidRDefault="0014050A">
      <w:pPr>
        <w:spacing w:line="240" w:lineRule="auto"/>
        <w:jc w:val="both"/>
        <w:rPr>
          <w:szCs w:val="28"/>
        </w:rPr>
      </w:pPr>
      <w:r>
        <w:rPr>
          <w:szCs w:val="28"/>
        </w:rPr>
        <w:t xml:space="preserve">Основными целями  в области налоговой политики является сохранение бюджетной устойчивости, укрепление и развитие налогового потенциала путем качественного администрирования доходных источников бюджета муниципального образования «Звениговский </w:t>
      </w:r>
      <w:r>
        <w:rPr>
          <w:szCs w:val="28"/>
        </w:rPr>
        <w:lastRenderedPageBreak/>
        <w:t>муниципальный район», повышения уровня их собираемости, легализации налоговой базы, включая легализацию «теневой» заработной платы.</w:t>
      </w:r>
    </w:p>
    <w:p w:rsidR="00310E2E" w:rsidRDefault="0014050A">
      <w:pPr>
        <w:widowControl w:val="0"/>
        <w:spacing w:line="240" w:lineRule="auto"/>
        <w:jc w:val="both"/>
      </w:pPr>
      <w: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по следующим направлениям:</w:t>
      </w:r>
    </w:p>
    <w:p w:rsidR="00310E2E" w:rsidRDefault="00310E2E">
      <w:pPr>
        <w:widowControl w:val="0"/>
        <w:spacing w:line="240" w:lineRule="auto"/>
        <w:jc w:val="both"/>
      </w:pPr>
    </w:p>
    <w:p w:rsidR="00310E2E" w:rsidRDefault="0014050A">
      <w:pPr>
        <w:pStyle w:val="20"/>
        <w:rPr>
          <w:b/>
          <w:szCs w:val="28"/>
        </w:rPr>
      </w:pPr>
      <w:r>
        <w:rPr>
          <w:b/>
          <w:szCs w:val="28"/>
        </w:rPr>
        <w:t>1</w:t>
      </w:r>
      <w:r>
        <w:rPr>
          <w:szCs w:val="28"/>
        </w:rPr>
        <w:t>.</w:t>
      </w:r>
      <w:r>
        <w:rPr>
          <w:b/>
          <w:szCs w:val="28"/>
        </w:rPr>
        <w:t>Реформирование имущественного налогообложения</w:t>
      </w:r>
    </w:p>
    <w:p w:rsidR="00310E2E" w:rsidRDefault="00310E2E">
      <w:pPr>
        <w:pStyle w:val="20"/>
        <w:rPr>
          <w:szCs w:val="28"/>
        </w:rPr>
      </w:pPr>
    </w:p>
    <w:p w:rsidR="00310E2E" w:rsidRDefault="0014050A">
      <w:pPr>
        <w:spacing w:line="240" w:lineRule="auto"/>
        <w:ind w:firstLine="567"/>
        <w:jc w:val="both"/>
        <w:rPr>
          <w:szCs w:val="28"/>
        </w:rPr>
      </w:pPr>
      <w:r>
        <w:rPr>
          <w:szCs w:val="28"/>
        </w:rPr>
        <w:t>В соответствии с Федеральным законом от 3 июля 2016 года № 360-ФЗ «О внесении изменений в отдельные законодательные акты Российской Федерации» н</w:t>
      </w:r>
      <w:r>
        <w:rPr>
          <w:rFonts w:eastAsia="Calibri"/>
          <w:szCs w:val="28"/>
        </w:rPr>
        <w:t>алог</w:t>
      </w:r>
      <w:r>
        <w:rPr>
          <w:rFonts w:eastAsia="Calibri"/>
        </w:rPr>
        <w:t xml:space="preserve">ообложение имущества физических лиц будет осуществляться по ставкам, установленным решениями органов местного </w:t>
      </w:r>
      <w:proofErr w:type="gramStart"/>
      <w:r>
        <w:rPr>
          <w:rFonts w:eastAsia="Calibri"/>
        </w:rPr>
        <w:t>самоуправления</w:t>
      </w:r>
      <w:proofErr w:type="gramEnd"/>
      <w:r>
        <w:rPr>
          <w:rFonts w:eastAsia="Calibri"/>
        </w:rPr>
        <w:t xml:space="preserve"> в республике </w:t>
      </w:r>
      <w:r>
        <w:rPr>
          <w:szCs w:val="28"/>
        </w:rPr>
        <w:t>исходя из кадастровой стоимости объектов налогообложения, действующей на 1 января 2014 года.</w:t>
      </w:r>
    </w:p>
    <w:p w:rsidR="00310E2E" w:rsidRDefault="0014050A">
      <w:pPr>
        <w:spacing w:line="240" w:lineRule="auto"/>
        <w:jc w:val="both"/>
        <w:rPr>
          <w:szCs w:val="28"/>
        </w:rPr>
      </w:pPr>
      <w:proofErr w:type="gramStart"/>
      <w:r>
        <w:rPr>
          <w:szCs w:val="28"/>
        </w:rPr>
        <w:t>Федеральным законом от 03 августа 2018 г. № 334 при налогообложении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января 2021 года) установлен коэффициент, ограничивающий ежегодное увеличение суммы налога на имущество физических лиц, исчисляемого на основании кадастровой стоимости, не более чем на 10 процентов по сравнению с</w:t>
      </w:r>
      <w:proofErr w:type="gramEnd"/>
      <w:r>
        <w:rPr>
          <w:szCs w:val="28"/>
        </w:rPr>
        <w:t xml:space="preserve"> предыдущим годом. </w:t>
      </w:r>
    </w:p>
    <w:p w:rsidR="00310E2E" w:rsidRDefault="0014050A">
      <w:pPr>
        <w:spacing w:line="240" w:lineRule="auto"/>
        <w:ind w:firstLine="700"/>
        <w:jc w:val="both"/>
        <w:rPr>
          <w:rFonts w:eastAsia="Calibri"/>
          <w:szCs w:val="28"/>
        </w:rPr>
      </w:pPr>
      <w:proofErr w:type="gramStart"/>
      <w:r>
        <w:rPr>
          <w:rFonts w:eastAsia="Calibri"/>
          <w:szCs w:val="28"/>
        </w:rPr>
        <w:t>В соответствии с постановлением Правительства Республики Марий Эл от 26 мая 2017 г. № 242 «О применении результатов государственной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 сельскохозяйственного назначения Республики Марий Эл по состоянию на 1 января 2011 года (утверждены постановлением Правительства Республики</w:t>
      </w:r>
      <w:proofErr w:type="gramEnd"/>
      <w:r>
        <w:rPr>
          <w:rFonts w:eastAsia="Calibri"/>
          <w:szCs w:val="28"/>
        </w:rPr>
        <w:t xml:space="preserve"> Марий Эл от 19 января 2012 г. №7), населенных пунктов Республики Марий Эл по состоянию на 1 января 2012 года (утверждены постановлением Правительства Республики Марий Эл от 20 июня 2013 г. №199).</w:t>
      </w:r>
    </w:p>
    <w:p w:rsidR="00310E2E" w:rsidRDefault="0014050A">
      <w:pPr>
        <w:spacing w:line="240" w:lineRule="auto"/>
        <w:ind w:firstLine="700"/>
        <w:jc w:val="both"/>
        <w:rPr>
          <w:szCs w:val="28"/>
        </w:rPr>
      </w:pPr>
      <w:r>
        <w:rPr>
          <w:szCs w:val="28"/>
        </w:rPr>
        <w:t>С 1 января 2019 года налогообложение имущества организаций</w:t>
      </w:r>
      <w:r>
        <w:rPr>
          <w:szCs w:val="28"/>
        </w:rPr>
        <w:br/>
        <w:t>в отношении административно-деловых и торговых центров, помещений в них, нежилых помещений, назначение которых предусматривает размещение офисов, торговых объектов, объектов общепита и бытового обслуживания, производится исходя из кадастровой стоимости.</w:t>
      </w:r>
    </w:p>
    <w:p w:rsidR="00310E2E" w:rsidRDefault="0014050A">
      <w:pPr>
        <w:spacing w:line="240" w:lineRule="auto"/>
        <w:ind w:firstLine="700"/>
        <w:jc w:val="both"/>
        <w:rPr>
          <w:szCs w:val="28"/>
        </w:rPr>
      </w:pPr>
      <w:r>
        <w:rPr>
          <w:szCs w:val="28"/>
        </w:rPr>
        <w:t xml:space="preserve">С 1 января 2021 года прекращает действовать единый налог </w:t>
      </w:r>
      <w:r>
        <w:rPr>
          <w:szCs w:val="28"/>
        </w:rPr>
        <w:br/>
        <w:t>на вмененный доход (Федеральный закон от 02 июня 2016 г. № 178-ФЗ).</w:t>
      </w:r>
    </w:p>
    <w:p w:rsidR="00310E2E" w:rsidRDefault="00310E2E">
      <w:pPr>
        <w:spacing w:line="240" w:lineRule="auto"/>
        <w:ind w:firstLine="567"/>
        <w:jc w:val="both"/>
        <w:rPr>
          <w:rFonts w:eastAsia="Calibri"/>
        </w:rPr>
      </w:pPr>
    </w:p>
    <w:p w:rsidR="00310E2E" w:rsidRDefault="0014050A">
      <w:pPr>
        <w:spacing w:line="240" w:lineRule="auto"/>
        <w:ind w:right="23" w:firstLine="709"/>
        <w:jc w:val="both"/>
        <w:rPr>
          <w:b/>
          <w:szCs w:val="28"/>
        </w:rPr>
      </w:pPr>
      <w:r>
        <w:rPr>
          <w:b/>
          <w:szCs w:val="28"/>
        </w:rPr>
        <w:lastRenderedPageBreak/>
        <w:t xml:space="preserve">2.  Обеспечение сбалансированности бюджетов бюджетной системы муниципального образования «Звениговский муниципальный район»  в условиях разграничения бюджетных полномочий между уровнями публичной власти </w:t>
      </w:r>
    </w:p>
    <w:p w:rsidR="00310E2E" w:rsidRDefault="00310E2E">
      <w:pPr>
        <w:spacing w:line="240" w:lineRule="auto"/>
        <w:ind w:firstLine="709"/>
        <w:jc w:val="both"/>
        <w:rPr>
          <w:szCs w:val="28"/>
        </w:rPr>
      </w:pPr>
    </w:p>
    <w:p w:rsidR="00310E2E" w:rsidRDefault="0014050A">
      <w:pPr>
        <w:spacing w:line="240" w:lineRule="auto"/>
        <w:ind w:firstLine="709"/>
        <w:jc w:val="both"/>
        <w:rPr>
          <w:szCs w:val="28"/>
        </w:rPr>
      </w:pPr>
      <w:r>
        <w:rPr>
          <w:szCs w:val="28"/>
        </w:rPr>
        <w:t xml:space="preserve">Формирование доходов бюджета муниципального образования «Звениговский муниципальный район»  от налога на доходы физических лиц и единого сельскохозяйственного налога </w:t>
      </w:r>
      <w:proofErr w:type="gramStart"/>
      <w:r>
        <w:rPr>
          <w:szCs w:val="28"/>
        </w:rPr>
        <w:t>будет</w:t>
      </w:r>
      <w:proofErr w:type="gramEnd"/>
      <w:r>
        <w:rPr>
          <w:szCs w:val="28"/>
        </w:rPr>
        <w:t xml:space="preserve"> осуществляется в условиях реализации норм Бюджетного кодекса Российской Федерации и Закона Республики Марий Эл от 30 июля 2007 года № 42-З «О бюджетных правоотношениях в Республике Марий Эл», устанавливающих нормативы зачисления налогов в республиканский и местные бюджеты Республики Марий Эл и Закона Республики Марий Эл от 29 декабря 2014 г. № 61-З «О закреплении за сельскими поселениями в Республике Марий Эл вопросов местного значения». </w:t>
      </w:r>
    </w:p>
    <w:p w:rsidR="00310E2E" w:rsidRDefault="0014050A">
      <w:pPr>
        <w:spacing w:line="240" w:lineRule="auto"/>
        <w:ind w:firstLine="709"/>
        <w:jc w:val="both"/>
        <w:rPr>
          <w:szCs w:val="28"/>
        </w:rPr>
      </w:pPr>
      <w:proofErr w:type="gramStart"/>
      <w:r>
        <w:rPr>
          <w:szCs w:val="28"/>
        </w:rPr>
        <w:t>Налог на доходы физических лиц зачисляется  в бюджет муниципального района по нормативу 5% налога, взимаемого на территориях городских поселений и 11% , взимаемого на территориях сельских поселений, в бюджеты сельских поселений – 4% , городских поселений - 10%, и дополнительному нормативу в размере 28,8%.  В результате распределение отчислений от налога на доходы физических лиц между республиканским и местным бюджетом с учетом передачи части отчислений</w:t>
      </w:r>
      <w:proofErr w:type="gramEnd"/>
      <w:r>
        <w:rPr>
          <w:szCs w:val="28"/>
        </w:rPr>
        <w:t xml:space="preserve"> от налога в рамках межбюджетного регулирования составит соответственно 70% и 30%.</w:t>
      </w:r>
    </w:p>
    <w:p w:rsidR="00310E2E" w:rsidRDefault="0014050A">
      <w:pPr>
        <w:spacing w:line="240" w:lineRule="auto"/>
        <w:jc w:val="both"/>
        <w:rPr>
          <w:szCs w:val="28"/>
        </w:rPr>
      </w:pPr>
      <w:r>
        <w:rPr>
          <w:szCs w:val="28"/>
        </w:rPr>
        <w:t>Единый сельскохозяйственный налог зачисляется в бюджет муниципального района по нормативу 50% налога, взимаемого на территориях городских поселений, и 70% налога, взимаемого на территориях сельских поселений, в бюджеты городских поселений по нормативу 50%, в бюджеты сельских поселений – 30% .</w:t>
      </w:r>
    </w:p>
    <w:p w:rsidR="00310E2E" w:rsidRDefault="0014050A">
      <w:pPr>
        <w:pStyle w:val="15"/>
        <w:shd w:val="clear" w:color="auto" w:fill="auto"/>
        <w:spacing w:before="0" w:line="240" w:lineRule="auto"/>
        <w:ind w:left="23" w:right="23" w:firstLine="697"/>
        <w:rPr>
          <w:sz w:val="28"/>
          <w:szCs w:val="28"/>
        </w:rPr>
      </w:pPr>
      <w:proofErr w:type="gramStart"/>
      <w:r>
        <w:rPr>
          <w:sz w:val="28"/>
          <w:szCs w:val="28"/>
        </w:rPr>
        <w:t>В связи с созданием муниципального дорожного фонда акцизы на автомобильный и прямогонный бензин, дизельное топливо, моторные масла для дизельных и (или) карбюраторных двигателей, производимые на территории Российской Федерации, подлежат зачислению в  бюджет Звениговского муниципального района, по дифференцированному нормативу в размере 0,4549% доходов  республиканского бюджета Республики Марий Эл от акцизов на нефтепродукты.</w:t>
      </w:r>
      <w:proofErr w:type="gramEnd"/>
      <w:r>
        <w:rPr>
          <w:sz w:val="28"/>
          <w:szCs w:val="28"/>
        </w:rPr>
        <w:t xml:space="preserve"> Порядок расчета дифференцированных нормативов утвержден постановлением Правительства Республики Марий Эл от 13 сентября 2013 года № 298 «Об утверждении </w:t>
      </w:r>
      <w:proofErr w:type="gramStart"/>
      <w:r>
        <w:rPr>
          <w:sz w:val="28"/>
          <w:szCs w:val="28"/>
        </w:rPr>
        <w:t>методики расчета размера дифференцированных нормативов отчислений</w:t>
      </w:r>
      <w:proofErr w:type="gramEnd"/>
      <w:r>
        <w:rPr>
          <w:sz w:val="28"/>
          <w:szCs w:val="28"/>
        </w:rPr>
        <w:t xml:space="preserve"> от акцизов на нефтепродукты в бюджеты городских округов и муниципальных районов для формирования муниципальных дорожных фондов на территории Республики Марий Эл». </w:t>
      </w:r>
    </w:p>
    <w:p w:rsidR="00310E2E" w:rsidRDefault="0014050A">
      <w:pPr>
        <w:spacing w:line="240" w:lineRule="auto"/>
        <w:ind w:left="23" w:right="23" w:firstLine="697"/>
        <w:jc w:val="both"/>
        <w:rPr>
          <w:szCs w:val="28"/>
        </w:rPr>
      </w:pPr>
      <w:r>
        <w:rPr>
          <w:szCs w:val="28"/>
        </w:rPr>
        <w:lastRenderedPageBreak/>
        <w:t>С 1 января 2019 г. доходы от штрафов за нарушение правил дорожного движения (ПДД) будут перечисляться в республиканский дорожный фонд.</w:t>
      </w:r>
    </w:p>
    <w:p w:rsidR="00310E2E" w:rsidRDefault="00310E2E">
      <w:pPr>
        <w:pStyle w:val="ab"/>
        <w:spacing w:line="240" w:lineRule="auto"/>
        <w:ind w:firstLine="0"/>
        <w:rPr>
          <w:szCs w:val="28"/>
        </w:rPr>
      </w:pPr>
    </w:p>
    <w:p w:rsidR="00310E2E" w:rsidRDefault="0014050A">
      <w:pPr>
        <w:pStyle w:val="ab"/>
        <w:spacing w:line="240" w:lineRule="auto"/>
        <w:ind w:firstLine="0"/>
        <w:jc w:val="center"/>
        <w:rPr>
          <w:b/>
          <w:szCs w:val="28"/>
        </w:rPr>
      </w:pPr>
      <w:r>
        <w:rPr>
          <w:b/>
          <w:szCs w:val="28"/>
        </w:rPr>
        <w:t>3. Приоритетные направления в сфере увеличения доходов бюджета муниципального образования «Звениговский муниципальный район».</w:t>
      </w:r>
    </w:p>
    <w:p w:rsidR="00310E2E" w:rsidRDefault="00310E2E">
      <w:pPr>
        <w:pStyle w:val="ab"/>
        <w:spacing w:line="240" w:lineRule="auto"/>
        <w:ind w:firstLine="0"/>
        <w:rPr>
          <w:b/>
          <w:szCs w:val="28"/>
        </w:rPr>
      </w:pPr>
    </w:p>
    <w:p w:rsidR="00310E2E" w:rsidRDefault="0014050A">
      <w:pPr>
        <w:widowControl w:val="0"/>
        <w:spacing w:line="240" w:lineRule="auto"/>
        <w:jc w:val="both"/>
        <w:rPr>
          <w:szCs w:val="28"/>
        </w:rPr>
      </w:pPr>
      <w:r>
        <w:rPr>
          <w:szCs w:val="28"/>
        </w:rPr>
        <w:t>Основным инструментом привлечения дополнительных доходных источников в бюджет муниципального образования «Звениговский муниципальный район»  является реализация:</w:t>
      </w:r>
    </w:p>
    <w:p w:rsidR="00310E2E" w:rsidRDefault="0014050A">
      <w:pPr>
        <w:widowControl w:val="0"/>
        <w:spacing w:line="240" w:lineRule="auto"/>
        <w:jc w:val="both"/>
        <w:rPr>
          <w:bCs/>
          <w:szCs w:val="28"/>
        </w:rPr>
      </w:pPr>
      <w:r>
        <w:rPr>
          <w:bCs/>
          <w:szCs w:val="28"/>
        </w:rPr>
        <w:t xml:space="preserve">Плана мероприятий </w:t>
      </w:r>
      <w:r>
        <w:rPr>
          <w:szCs w:val="28"/>
        </w:rPr>
        <w:t xml:space="preserve">по </w:t>
      </w:r>
      <w:r>
        <w:t xml:space="preserve">мобилизации доходов и </w:t>
      </w:r>
      <w:r>
        <w:rPr>
          <w:szCs w:val="28"/>
        </w:rPr>
        <w:t>оптимизации расходов бюджета</w:t>
      </w:r>
      <w:r>
        <w:rPr>
          <w:bCs/>
          <w:szCs w:val="28"/>
        </w:rPr>
        <w:t xml:space="preserve"> муниципального образования «Звениговский муниципальный район» на 2019-2021годы, утвержденного постановлением администрации МО «Звениговский муниципальный район» от 26сентября 2018 года № 561;</w:t>
      </w:r>
    </w:p>
    <w:p w:rsidR="00310E2E" w:rsidRDefault="0014050A">
      <w:pPr>
        <w:widowControl w:val="0"/>
        <w:suppressAutoHyphens/>
        <w:spacing w:line="240" w:lineRule="auto"/>
        <w:ind w:firstLine="709"/>
        <w:jc w:val="both"/>
        <w:rPr>
          <w:szCs w:val="28"/>
        </w:rPr>
      </w:pPr>
      <w:r>
        <w:rPr>
          <w:szCs w:val="28"/>
        </w:rPr>
        <w:t>Рост бюджетных поступлений планируется достичь за счёт:</w:t>
      </w:r>
    </w:p>
    <w:p w:rsidR="00310E2E" w:rsidRDefault="0014050A">
      <w:pPr>
        <w:widowControl w:val="0"/>
        <w:suppressAutoHyphens/>
        <w:spacing w:line="240" w:lineRule="auto"/>
        <w:ind w:firstLine="709"/>
        <w:jc w:val="both"/>
        <w:rPr>
          <w:szCs w:val="28"/>
        </w:rPr>
      </w:pPr>
      <w:r>
        <w:rPr>
          <w:szCs w:val="28"/>
        </w:rPr>
        <w:t>- создания благоприятных условий для расширения производства, новых рабочих мест, повышения инвестиционной активности, снижения числа убыточных организаций, содействия среднему и малому бизнесу для развития предпринимательской деятельности;</w:t>
      </w:r>
    </w:p>
    <w:p w:rsidR="00310E2E" w:rsidRDefault="0014050A">
      <w:pPr>
        <w:widowControl w:val="0"/>
        <w:suppressAutoHyphens/>
        <w:spacing w:line="240" w:lineRule="auto"/>
        <w:ind w:firstLine="709"/>
        <w:jc w:val="both"/>
        <w:rPr>
          <w:szCs w:val="28"/>
        </w:rPr>
      </w:pPr>
      <w:r>
        <w:rPr>
          <w:szCs w:val="28"/>
        </w:rPr>
        <w:t>- пресечения схем минимизации налогов, совершенствования методов контроля легализации «теневой» заработной платы,  легализации налогоплательщиков и объектов налогообложения;</w:t>
      </w:r>
    </w:p>
    <w:p w:rsidR="00310E2E" w:rsidRDefault="0014050A">
      <w:pPr>
        <w:widowControl w:val="0"/>
        <w:suppressAutoHyphens/>
        <w:spacing w:line="240" w:lineRule="auto"/>
        <w:ind w:firstLine="709"/>
        <w:jc w:val="both"/>
        <w:rPr>
          <w:szCs w:val="28"/>
        </w:rPr>
      </w:pPr>
      <w:r>
        <w:rPr>
          <w:szCs w:val="28"/>
        </w:rPr>
        <w:t>- повышения уровня ответственности администраторов доходов за выполнение плановых показателей поступления доходов в консолидированный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310E2E" w:rsidRDefault="0014050A">
      <w:pPr>
        <w:widowControl w:val="0"/>
        <w:suppressAutoHyphens/>
        <w:spacing w:line="240" w:lineRule="auto"/>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rsidR="00310E2E" w:rsidRDefault="0014050A">
      <w:pPr>
        <w:spacing w:line="240" w:lineRule="auto"/>
        <w:ind w:firstLine="709"/>
        <w:jc w:val="both"/>
        <w:rPr>
          <w:b/>
        </w:rPr>
      </w:pPr>
      <w:r>
        <w:rPr>
          <w:szCs w:val="28"/>
        </w:rPr>
        <w:t>-эффективного управления  имущественными и земельными активами на территории муниципального образования «Звениговский муниципальный район», инвентаризации объектов недвижимости.</w:t>
      </w:r>
    </w:p>
    <w:p w:rsidR="00310E2E" w:rsidRDefault="00310E2E">
      <w:pPr>
        <w:spacing w:line="240" w:lineRule="auto"/>
        <w:ind w:firstLine="709"/>
        <w:jc w:val="center"/>
        <w:rPr>
          <w:b/>
        </w:rPr>
      </w:pPr>
    </w:p>
    <w:p w:rsidR="00310E2E" w:rsidRDefault="0014050A">
      <w:pPr>
        <w:spacing w:line="240" w:lineRule="auto"/>
        <w:ind w:firstLine="709"/>
        <w:jc w:val="center"/>
        <w:rPr>
          <w:b/>
        </w:rPr>
      </w:pPr>
      <w:r>
        <w:rPr>
          <w:b/>
        </w:rPr>
        <w:t>Бюджетная политика в области расходов</w:t>
      </w:r>
    </w:p>
    <w:p w:rsidR="00310E2E" w:rsidRDefault="00310E2E">
      <w:pPr>
        <w:spacing w:line="240" w:lineRule="auto"/>
        <w:ind w:firstLine="709"/>
        <w:jc w:val="center"/>
        <w:rPr>
          <w:b/>
        </w:rPr>
      </w:pPr>
    </w:p>
    <w:p w:rsidR="00310E2E" w:rsidRDefault="0014050A">
      <w:pPr>
        <w:spacing w:line="240" w:lineRule="auto"/>
        <w:ind w:firstLine="709"/>
        <w:jc w:val="both"/>
        <w:rPr>
          <w:szCs w:val="28"/>
        </w:rPr>
      </w:pPr>
      <w:r>
        <w:rPr>
          <w:szCs w:val="28"/>
        </w:rPr>
        <w:t xml:space="preserve">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 в том числе за счет повышения объективности и качества бюджетного планирования на основе муниципальных заданий на </w:t>
      </w:r>
      <w:r>
        <w:rPr>
          <w:szCs w:val="28"/>
        </w:rPr>
        <w:lastRenderedPageBreak/>
        <w:t>оказание муниципальных услуг и нормативов затрат на оказание муниципальных услуг.</w:t>
      </w:r>
    </w:p>
    <w:p w:rsidR="00310E2E" w:rsidRDefault="0014050A">
      <w:pPr>
        <w:spacing w:line="240" w:lineRule="auto"/>
        <w:ind w:firstLine="709"/>
        <w:jc w:val="both"/>
      </w:pPr>
      <w:proofErr w:type="gramStart"/>
      <w:r>
        <w:rPr>
          <w:szCs w:val="28"/>
        </w:rPr>
        <w:t xml:space="preserve">При формировании проекта бюджета в приоритетном порядке предусмотрены бюджетные ассигнования на реализацию национальных проектов в соответствии с </w:t>
      </w:r>
      <w:hyperlink r:id="rId13">
        <w:r w:rsidRPr="00E473E7">
          <w:rPr>
            <w:rStyle w:val="-"/>
            <w:color w:val="000000" w:themeColor="text1"/>
            <w:szCs w:val="28"/>
            <w:u w:val="none"/>
          </w:rPr>
          <w:t>Указом</w:t>
        </w:r>
        <w:proofErr w:type="gramEnd"/>
      </w:hyperlink>
      <w:r>
        <w:rPr>
          <w:szCs w:val="28"/>
        </w:rPr>
        <w:t xml:space="preserve"> Президента Российской Федерации от 7 мая 2018 г. № 204 «О национальных целях стратегических задачах развития Российской Федерации на периоддо 2024 года».</w:t>
      </w:r>
    </w:p>
    <w:p w:rsidR="00310E2E" w:rsidRDefault="0014050A">
      <w:pPr>
        <w:spacing w:line="240" w:lineRule="auto"/>
        <w:jc w:val="both"/>
        <w:rPr>
          <w:szCs w:val="28"/>
        </w:rPr>
      </w:pPr>
      <w:r>
        <w:rPr>
          <w:szCs w:val="28"/>
        </w:rPr>
        <w:t>В условиях роста социальной нагрузки на бюджет основными  задачами бюджетной политики в области расходов будут являться:</w:t>
      </w:r>
    </w:p>
    <w:p w:rsidR="00310E2E" w:rsidRDefault="0014050A">
      <w:pPr>
        <w:spacing w:line="240" w:lineRule="auto"/>
        <w:ind w:firstLine="709"/>
        <w:jc w:val="both"/>
        <w:rPr>
          <w:szCs w:val="28"/>
        </w:rPr>
      </w:pPr>
      <w:r>
        <w:rPr>
          <w:szCs w:val="28"/>
        </w:rPr>
        <w:t>- формирование бюджетных параметров исходя из реальных финансовых возможностей бюджета Звениговского муниципального  района, ожидаемого прогноза поступления доходов, допустимого уровня дефицита бюджета;</w:t>
      </w:r>
    </w:p>
    <w:p w:rsidR="00310E2E" w:rsidRDefault="0014050A">
      <w:pPr>
        <w:spacing w:line="240" w:lineRule="auto"/>
        <w:ind w:firstLine="0"/>
        <w:jc w:val="both"/>
        <w:rPr>
          <w:szCs w:val="28"/>
        </w:rPr>
      </w:pPr>
      <w:r>
        <w:rPr>
          <w:szCs w:val="28"/>
        </w:rPr>
        <w:t>- необходимость безусловного исполнения действующих расходных обязательств;</w:t>
      </w:r>
    </w:p>
    <w:p w:rsidR="00310E2E" w:rsidRDefault="0014050A">
      <w:pPr>
        <w:spacing w:line="240" w:lineRule="auto"/>
        <w:jc w:val="both"/>
      </w:pPr>
      <w:r>
        <w:rPr>
          <w:szCs w:val="28"/>
        </w:rPr>
        <w:t xml:space="preserve">- недопущение принятия новых расходных обязательств, </w:t>
      </w:r>
      <w:r>
        <w:rPr>
          <w:szCs w:val="28"/>
        </w:rPr>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14">
        <w:r>
          <w:rPr>
            <w:rStyle w:val="-"/>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rsidR="00310E2E" w:rsidRDefault="0014050A">
      <w:pPr>
        <w:spacing w:line="240" w:lineRule="auto"/>
        <w:jc w:val="both"/>
        <w:rPr>
          <w:szCs w:val="28"/>
        </w:rPr>
      </w:pPr>
      <w:r>
        <w:rPr>
          <w:szCs w:val="28"/>
        </w:rPr>
        <w:t xml:space="preserve">- повышение эффективности бюджетных расходов, в том числе </w:t>
      </w:r>
      <w:r>
        <w:rPr>
          <w:szCs w:val="28"/>
        </w:rPr>
        <w:br/>
        <w:t>с учетом их оптимизации и эффективности исполнения, сокращение неэффективных бюджетных расходов;</w:t>
      </w:r>
    </w:p>
    <w:p w:rsidR="00310E2E" w:rsidRDefault="0014050A">
      <w:pPr>
        <w:spacing w:line="240" w:lineRule="auto"/>
        <w:jc w:val="both"/>
      </w:pPr>
      <w:r>
        <w:rPr>
          <w:szCs w:val="28"/>
        </w:rPr>
        <w:t xml:space="preserve">- обеспечение соблюдения норматива формирования расходов </w:t>
      </w:r>
      <w:r>
        <w:rPr>
          <w:szCs w:val="28"/>
        </w:rPr>
        <w:br/>
        <w:t>на содержание органов местного самоуправления, установленного Правительством Республики Марий Эл;</w:t>
      </w:r>
    </w:p>
    <w:p w:rsidR="00310E2E" w:rsidRDefault="0014050A">
      <w:pPr>
        <w:spacing w:line="240" w:lineRule="auto"/>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rsidR="00310E2E" w:rsidRDefault="0014050A">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310E2E" w:rsidRDefault="0014050A">
      <w:pPr>
        <w:spacing w:line="240" w:lineRule="auto"/>
        <w:ind w:firstLine="709"/>
        <w:jc w:val="both"/>
      </w:pPr>
      <w:r>
        <w:t>В рамках решения задачи по созданию условий для улучшения качества муниципальных услуг будет продолжена работа по формированию стимулов для более рационального и экономного использования бюджетных средств.</w:t>
      </w:r>
    </w:p>
    <w:p w:rsidR="00310E2E" w:rsidRDefault="0014050A">
      <w:pPr>
        <w:spacing w:line="240" w:lineRule="auto"/>
        <w:ind w:firstLine="709"/>
        <w:jc w:val="both"/>
        <w:rPr>
          <w:szCs w:val="28"/>
        </w:rPr>
      </w:pPr>
      <w:r>
        <w:rPr>
          <w:szCs w:val="28"/>
        </w:rPr>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муниципального образования «</w:t>
      </w:r>
      <w:proofErr w:type="spellStart"/>
      <w:r>
        <w:rPr>
          <w:szCs w:val="28"/>
        </w:rPr>
        <w:t>Звениговский</w:t>
      </w:r>
      <w:proofErr w:type="spellEnd"/>
      <w:r>
        <w:rPr>
          <w:szCs w:val="28"/>
        </w:rPr>
        <w:t xml:space="preserve"> муниципальный район» являются:</w:t>
      </w:r>
    </w:p>
    <w:p w:rsidR="00310E2E" w:rsidRDefault="0014050A">
      <w:pPr>
        <w:spacing w:line="240" w:lineRule="auto"/>
        <w:ind w:firstLine="709"/>
        <w:jc w:val="both"/>
        <w:rPr>
          <w:szCs w:val="28"/>
        </w:rPr>
      </w:pPr>
      <w:r>
        <w:rPr>
          <w:szCs w:val="28"/>
        </w:rPr>
        <w:t>проведение мероприятий по оптимизации численности муниципальных служащих и работников органов местного самоуправления;</w:t>
      </w:r>
    </w:p>
    <w:p w:rsidR="00310E2E" w:rsidRDefault="0014050A">
      <w:pPr>
        <w:spacing w:line="240" w:lineRule="auto"/>
        <w:ind w:firstLine="709"/>
        <w:jc w:val="both"/>
        <w:rPr>
          <w:szCs w:val="28"/>
        </w:rPr>
      </w:pPr>
      <w:r>
        <w:rPr>
          <w:szCs w:val="28"/>
        </w:rPr>
        <w:t>оптимизация расходов на материально-техническое обеспечение органов местного самоуправления;</w:t>
      </w:r>
    </w:p>
    <w:p w:rsidR="00310E2E" w:rsidRDefault="0014050A">
      <w:pPr>
        <w:spacing w:line="240" w:lineRule="auto"/>
        <w:ind w:firstLine="709"/>
        <w:jc w:val="both"/>
        <w:rPr>
          <w:szCs w:val="28"/>
        </w:rPr>
      </w:pPr>
      <w:r>
        <w:rPr>
          <w:szCs w:val="28"/>
        </w:rPr>
        <w:lastRenderedPageBreak/>
        <w:t>сохранение условий оплаты труда лиц, муниципальных служащих и работников органов местного самоуправления, действующих в текущем году.</w:t>
      </w:r>
    </w:p>
    <w:p w:rsidR="00310E2E" w:rsidRDefault="0014050A">
      <w:pPr>
        <w:spacing w:line="240" w:lineRule="auto"/>
        <w:ind w:firstLine="709"/>
        <w:jc w:val="both"/>
        <w:rPr>
          <w:szCs w:val="28"/>
        </w:rPr>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310E2E" w:rsidRDefault="0014050A">
      <w:pPr>
        <w:spacing w:line="240" w:lineRule="auto"/>
        <w:ind w:firstLine="709"/>
        <w:jc w:val="both"/>
        <w:rPr>
          <w:szCs w:val="28"/>
        </w:rPr>
      </w:pPr>
      <w:r>
        <w:rPr>
          <w:szCs w:val="28"/>
        </w:rPr>
        <w:t>Расходные обязательства муниципального образования «Звениговский муниципальный район» по обслуживанию муниципального долга определены в соответствии с действующими кредитными договорами и соглашениями, прогнозным уровнем процентных ставок на 2019 – 2021 годы, а также предстоящими заимствованиями для осуществления финансирования планового дефицита бюджета на 2019 - 2021 годы.</w:t>
      </w:r>
    </w:p>
    <w:p w:rsidR="00310E2E" w:rsidRDefault="004929E3">
      <w:pPr>
        <w:pStyle w:val="ab"/>
        <w:spacing w:line="240" w:lineRule="auto"/>
        <w:ind w:firstLine="0"/>
        <w:rPr>
          <w:szCs w:val="28"/>
        </w:rPr>
      </w:pPr>
      <w:r>
        <w:rPr>
          <w:szCs w:val="28"/>
        </w:rPr>
        <w:t xml:space="preserve">       </w:t>
      </w:r>
      <w:r w:rsidR="0014050A">
        <w:rPr>
          <w:szCs w:val="28"/>
        </w:rPr>
        <w:t>Доля бюджетных ассигнований на обслуживание муниципального долга в расходах бюджета не превысит установленных Бюджетным кодексом Российской Федерации предельных значений.</w:t>
      </w:r>
    </w:p>
    <w:p w:rsidR="00310E2E" w:rsidRDefault="00310E2E">
      <w:pPr>
        <w:pStyle w:val="ab"/>
        <w:spacing w:line="240" w:lineRule="auto"/>
        <w:ind w:firstLine="0"/>
        <w:rPr>
          <w:szCs w:val="28"/>
        </w:rPr>
      </w:pPr>
    </w:p>
    <w:p w:rsidR="00310E2E" w:rsidRDefault="0014050A">
      <w:pPr>
        <w:spacing w:line="240" w:lineRule="auto"/>
        <w:ind w:firstLine="709"/>
        <w:jc w:val="center"/>
        <w:rPr>
          <w:b/>
          <w:szCs w:val="28"/>
        </w:rPr>
      </w:pPr>
      <w:r>
        <w:rPr>
          <w:b/>
          <w:szCs w:val="28"/>
        </w:rPr>
        <w:t>Политика в области межбюджетных отношений</w:t>
      </w:r>
    </w:p>
    <w:p w:rsidR="00310E2E" w:rsidRDefault="00310E2E">
      <w:pPr>
        <w:spacing w:line="240" w:lineRule="auto"/>
        <w:ind w:firstLine="709"/>
        <w:jc w:val="both"/>
        <w:rPr>
          <w:szCs w:val="28"/>
        </w:rPr>
      </w:pPr>
    </w:p>
    <w:p w:rsidR="00310E2E" w:rsidRDefault="0014050A">
      <w:pPr>
        <w:spacing w:line="240" w:lineRule="auto"/>
        <w:ind w:firstLine="709"/>
        <w:jc w:val="both"/>
        <w:rPr>
          <w:szCs w:val="28"/>
        </w:rPr>
      </w:pPr>
      <w:r>
        <w:rPr>
          <w:szCs w:val="28"/>
        </w:rPr>
        <w:t xml:space="preserve">Бюджетная политика в сфере межбюджетных отношений </w:t>
      </w:r>
      <w:r>
        <w:rPr>
          <w:szCs w:val="28"/>
        </w:rPr>
        <w:br/>
        <w:t>в муниципальном образовании «Звениговский муниципальный район» в 2019 - 2021 годах будет сосредоточена на решении следующих задач:</w:t>
      </w:r>
    </w:p>
    <w:p w:rsidR="00310E2E" w:rsidRDefault="0014050A">
      <w:pPr>
        <w:spacing w:line="240" w:lineRule="auto"/>
        <w:ind w:firstLine="709"/>
        <w:jc w:val="both"/>
        <w:rPr>
          <w:szCs w:val="28"/>
        </w:rPr>
      </w:pPr>
      <w:r>
        <w:rPr>
          <w:szCs w:val="28"/>
        </w:rPr>
        <w:t>обеспечение стабильности объемов финансовой поддержки поселений;</w:t>
      </w:r>
    </w:p>
    <w:p w:rsidR="00310E2E" w:rsidRDefault="0014050A">
      <w:pPr>
        <w:spacing w:line="240" w:lineRule="auto"/>
        <w:ind w:firstLine="709"/>
        <w:jc w:val="both"/>
        <w:rPr>
          <w:szCs w:val="28"/>
        </w:rPr>
      </w:pPr>
      <w:proofErr w:type="spellStart"/>
      <w:r>
        <w:rPr>
          <w:szCs w:val="28"/>
        </w:rPr>
        <w:t>софинансирование</w:t>
      </w:r>
      <w:proofErr w:type="spellEnd"/>
      <w:r>
        <w:rPr>
          <w:szCs w:val="28"/>
        </w:rPr>
        <w:t xml:space="preserve"> приоритетных направлений расходных обязательств поселений с установлением целевых показателей результативности для предоставления субсидий;</w:t>
      </w:r>
    </w:p>
    <w:p w:rsidR="00310E2E" w:rsidRDefault="0014050A">
      <w:pPr>
        <w:spacing w:line="240" w:lineRule="auto"/>
        <w:ind w:firstLine="709"/>
        <w:jc w:val="both"/>
        <w:rPr>
          <w:szCs w:val="28"/>
        </w:rPr>
      </w:pPr>
      <w:r>
        <w:rPr>
          <w:szCs w:val="28"/>
        </w:rPr>
        <w:t>сохранение выравнивающей составляющей межбюджетных трансфертов;</w:t>
      </w:r>
    </w:p>
    <w:p w:rsidR="00310E2E" w:rsidRDefault="0014050A">
      <w:pPr>
        <w:spacing w:line="240" w:lineRule="auto"/>
        <w:ind w:firstLine="709"/>
        <w:jc w:val="both"/>
        <w:rPr>
          <w:szCs w:val="28"/>
        </w:rPr>
      </w:pPr>
      <w:r>
        <w:rPr>
          <w:szCs w:val="28"/>
        </w:rPr>
        <w:t>повышение эффективности предоставления целевых межбюджетных трансфертов;</w:t>
      </w:r>
    </w:p>
    <w:p w:rsidR="00310E2E" w:rsidRDefault="0014050A">
      <w:pPr>
        <w:spacing w:line="240" w:lineRule="auto"/>
        <w:ind w:firstLine="0"/>
        <w:jc w:val="both"/>
        <w:rPr>
          <w:szCs w:val="28"/>
        </w:rPr>
      </w:pPr>
      <w:r>
        <w:rPr>
          <w:szCs w:val="28"/>
        </w:rPr>
        <w:t xml:space="preserve">В соответствии с бюджетным законодательством </w:t>
      </w:r>
      <w:r>
        <w:rPr>
          <w:szCs w:val="28"/>
        </w:rPr>
        <w:br/>
        <w:t>сохранятся следующие формы межбюджетных трансфертов</w:t>
      </w:r>
      <w:proofErr w:type="gramStart"/>
      <w:r>
        <w:rPr>
          <w:szCs w:val="28"/>
        </w:rPr>
        <w:t xml:space="preserve"> :</w:t>
      </w:r>
      <w:proofErr w:type="gramEnd"/>
    </w:p>
    <w:p w:rsidR="00310E2E" w:rsidRDefault="0014050A">
      <w:pPr>
        <w:spacing w:line="240" w:lineRule="auto"/>
        <w:ind w:firstLine="709"/>
        <w:jc w:val="both"/>
        <w:rPr>
          <w:szCs w:val="28"/>
        </w:rPr>
      </w:pPr>
      <w:r>
        <w:rPr>
          <w:szCs w:val="28"/>
        </w:rPr>
        <w:t>дотации на выравнивание бюджетной обеспеченности поселений;</w:t>
      </w:r>
    </w:p>
    <w:p w:rsidR="00310E2E" w:rsidRDefault="0014050A">
      <w:pPr>
        <w:spacing w:line="240" w:lineRule="auto"/>
        <w:ind w:firstLine="709"/>
        <w:jc w:val="both"/>
        <w:rPr>
          <w:szCs w:val="28"/>
        </w:rPr>
      </w:pPr>
      <w:r>
        <w:rPr>
          <w:szCs w:val="28"/>
        </w:rPr>
        <w:t xml:space="preserve">субвенции на реализацию переданных государственных полномочий; </w:t>
      </w:r>
    </w:p>
    <w:p w:rsidR="00310E2E" w:rsidRDefault="0014050A">
      <w:pPr>
        <w:spacing w:line="240" w:lineRule="auto"/>
        <w:ind w:firstLine="709"/>
        <w:jc w:val="both"/>
        <w:rPr>
          <w:szCs w:val="28"/>
        </w:rPr>
      </w:pPr>
      <w:r>
        <w:rPr>
          <w:szCs w:val="28"/>
        </w:rPr>
        <w:t xml:space="preserve">субсидии на </w:t>
      </w:r>
      <w:proofErr w:type="spellStart"/>
      <w:r>
        <w:rPr>
          <w:szCs w:val="28"/>
        </w:rPr>
        <w:t>софинансирование</w:t>
      </w:r>
      <w:proofErr w:type="spellEnd"/>
      <w:r>
        <w:rPr>
          <w:szCs w:val="28"/>
        </w:rPr>
        <w:t xml:space="preserve"> расходных обязательств местных бюджетов;</w:t>
      </w:r>
    </w:p>
    <w:p w:rsidR="00310E2E" w:rsidRDefault="0014050A">
      <w:pPr>
        <w:spacing w:line="240" w:lineRule="auto"/>
        <w:ind w:firstLine="709"/>
        <w:jc w:val="both"/>
        <w:rPr>
          <w:szCs w:val="28"/>
        </w:rPr>
      </w:pPr>
      <w:r>
        <w:rPr>
          <w:szCs w:val="28"/>
        </w:rPr>
        <w:t>иные межбюджетные трансферты.</w:t>
      </w:r>
    </w:p>
    <w:p w:rsidR="00310E2E" w:rsidRDefault="00310E2E">
      <w:pPr>
        <w:spacing w:line="240" w:lineRule="auto"/>
        <w:ind w:firstLine="709"/>
        <w:jc w:val="both"/>
        <w:rPr>
          <w:szCs w:val="28"/>
        </w:rPr>
      </w:pPr>
    </w:p>
    <w:p w:rsidR="00310E2E" w:rsidRDefault="0014050A">
      <w:pPr>
        <w:spacing w:line="240" w:lineRule="auto"/>
        <w:ind w:firstLine="709"/>
        <w:jc w:val="center"/>
        <w:rPr>
          <w:b/>
          <w:szCs w:val="28"/>
        </w:rPr>
      </w:pPr>
      <w:r>
        <w:rPr>
          <w:b/>
          <w:szCs w:val="28"/>
        </w:rPr>
        <w:lastRenderedPageBreak/>
        <w:t>Политика в области муниципального долга</w:t>
      </w:r>
    </w:p>
    <w:p w:rsidR="00310E2E" w:rsidRDefault="00310E2E">
      <w:pPr>
        <w:spacing w:line="240" w:lineRule="auto"/>
        <w:ind w:firstLine="709"/>
        <w:jc w:val="center"/>
        <w:rPr>
          <w:b/>
          <w:szCs w:val="28"/>
        </w:rPr>
      </w:pPr>
    </w:p>
    <w:p w:rsidR="00310E2E" w:rsidRDefault="0014050A">
      <w:pPr>
        <w:tabs>
          <w:tab w:val="left" w:pos="1843"/>
        </w:tabs>
        <w:spacing w:line="240" w:lineRule="auto"/>
        <w:ind w:firstLine="709"/>
        <w:jc w:val="both"/>
        <w:rPr>
          <w:szCs w:val="28"/>
        </w:rPr>
      </w:pPr>
      <w:r>
        <w:rPr>
          <w:szCs w:val="28"/>
        </w:rPr>
        <w:t>Бюджетная политика в области муниципального долга, как  часть бюджетной политики муниципального образования «Звениговский муниципальный район» непосредственно связана с бюджетным процессом в 2019-2021 годах и сосредоточена на решении следующих задач:</w:t>
      </w:r>
    </w:p>
    <w:p w:rsidR="00310E2E" w:rsidRDefault="0014050A">
      <w:pPr>
        <w:tabs>
          <w:tab w:val="left" w:pos="1843"/>
        </w:tabs>
        <w:spacing w:line="240" w:lineRule="auto"/>
        <w:ind w:firstLine="709"/>
        <w:jc w:val="both"/>
        <w:rPr>
          <w:szCs w:val="28"/>
        </w:rPr>
      </w:pPr>
      <w:r>
        <w:rPr>
          <w:szCs w:val="28"/>
        </w:rPr>
        <w:t>соблюдение ограничений в области долговых обязательств, установленных Бюджетным кодексом российской Федерации;</w:t>
      </w:r>
    </w:p>
    <w:p w:rsidR="00310E2E" w:rsidRDefault="0014050A">
      <w:pPr>
        <w:tabs>
          <w:tab w:val="left" w:pos="1843"/>
        </w:tabs>
        <w:spacing w:line="240" w:lineRule="auto"/>
        <w:ind w:firstLine="709"/>
        <w:jc w:val="both"/>
        <w:rPr>
          <w:szCs w:val="28"/>
        </w:rPr>
      </w:pPr>
      <w:r>
        <w:rPr>
          <w:szCs w:val="28"/>
        </w:rPr>
        <w:t>обеспечение сбалансированности местного бюджета;</w:t>
      </w:r>
    </w:p>
    <w:p w:rsidR="00310E2E" w:rsidRDefault="0014050A">
      <w:pPr>
        <w:tabs>
          <w:tab w:val="left" w:pos="1843"/>
        </w:tabs>
        <w:spacing w:line="240" w:lineRule="auto"/>
        <w:ind w:firstLine="709"/>
        <w:jc w:val="both"/>
        <w:rPr>
          <w:szCs w:val="28"/>
        </w:rPr>
      </w:pPr>
      <w:r>
        <w:rPr>
          <w:szCs w:val="28"/>
        </w:rPr>
        <w:t>полнота и своевременность исполнения долговых обязательств;</w:t>
      </w:r>
    </w:p>
    <w:p w:rsidR="00310E2E" w:rsidRDefault="0014050A">
      <w:pPr>
        <w:tabs>
          <w:tab w:val="left" w:pos="1843"/>
        </w:tabs>
        <w:spacing w:line="240" w:lineRule="auto"/>
        <w:ind w:firstLine="709"/>
        <w:jc w:val="both"/>
        <w:rPr>
          <w:szCs w:val="28"/>
        </w:rPr>
      </w:pPr>
      <w:r>
        <w:rPr>
          <w:szCs w:val="28"/>
        </w:rPr>
        <w:t>оптимизация структуры долга с целью минимизации стоимости его обслуживания;</w:t>
      </w:r>
    </w:p>
    <w:p w:rsidR="00310E2E" w:rsidRDefault="0014050A">
      <w:pPr>
        <w:tabs>
          <w:tab w:val="left" w:pos="1843"/>
        </w:tabs>
        <w:spacing w:line="240" w:lineRule="auto"/>
        <w:ind w:firstLine="709"/>
        <w:jc w:val="both"/>
        <w:rPr>
          <w:szCs w:val="28"/>
        </w:rPr>
      </w:pPr>
      <w:r>
        <w:rPr>
          <w:szCs w:val="28"/>
        </w:rPr>
        <w:t>обеспечение равномерного распределения во времени платежей, связанных с долгом;</w:t>
      </w:r>
    </w:p>
    <w:p w:rsidR="00310E2E" w:rsidRDefault="0014050A">
      <w:pPr>
        <w:tabs>
          <w:tab w:val="left" w:pos="1843"/>
        </w:tabs>
        <w:spacing w:line="240" w:lineRule="auto"/>
        <w:ind w:firstLine="709"/>
        <w:jc w:val="both"/>
        <w:rPr>
          <w:szCs w:val="28"/>
        </w:rPr>
      </w:pPr>
      <w:r>
        <w:rPr>
          <w:szCs w:val="28"/>
        </w:rPr>
        <w:t>обеспечение взаимосвязи принятия решений о заимствованиях с реальными потребностями в привлечении заемных средств;</w:t>
      </w:r>
    </w:p>
    <w:p w:rsidR="00310E2E" w:rsidRDefault="0014050A">
      <w:pPr>
        <w:tabs>
          <w:tab w:val="left" w:pos="1843"/>
        </w:tabs>
        <w:spacing w:line="240" w:lineRule="auto"/>
        <w:ind w:firstLine="709"/>
        <w:jc w:val="both"/>
        <w:rPr>
          <w:szCs w:val="28"/>
        </w:rPr>
      </w:pPr>
      <w:r>
        <w:rPr>
          <w:szCs w:val="28"/>
        </w:rPr>
        <w:t>прозрачность управления долгом.</w:t>
      </w:r>
    </w:p>
    <w:p w:rsidR="00310E2E" w:rsidRDefault="0014050A">
      <w:pPr>
        <w:tabs>
          <w:tab w:val="left" w:pos="1843"/>
        </w:tabs>
        <w:spacing w:line="240" w:lineRule="auto"/>
        <w:ind w:firstLine="0"/>
        <w:jc w:val="both"/>
        <w:rPr>
          <w:szCs w:val="28"/>
        </w:rPr>
      </w:pPr>
      <w:r>
        <w:rPr>
          <w:szCs w:val="28"/>
        </w:rPr>
        <w:t>В целях реализации задачи долговой политики по обеспечению сбалансированности бюджета муниципального образования «Звениговский муниципальный район» для финансирования дефицита бюджета планируется к привлечению муниципальных заимствований. Данные заимствования увеличат объем долговых обязательств, в связи с чем, будет актуально направление дополнительных  доходов, полученных сверх утвержденных законом о бюджете, на погашение муниципальных долговых обязательств.</w:t>
      </w:r>
    </w:p>
    <w:p w:rsidR="00310E2E" w:rsidRDefault="0014050A">
      <w:pPr>
        <w:tabs>
          <w:tab w:val="left" w:pos="1843"/>
        </w:tabs>
        <w:spacing w:line="240" w:lineRule="auto"/>
        <w:ind w:firstLine="709"/>
        <w:jc w:val="both"/>
      </w:pPr>
      <w:r>
        <w:rPr>
          <w:szCs w:val="28"/>
        </w:rPr>
        <w:t>Таким образом, бюджетная политика в Звениговском муниципальном районе на среднесрочную перспективу направлена на обеспечение сбалансированности и устойчивости бюджетной системы, в том числе за счет проведения сдерживания роста бюджетных расходов при безусловном исполнении действующих расходных обязательств.</w:t>
      </w:r>
    </w:p>
    <w:sectPr w:rsidR="00310E2E" w:rsidSect="00310E2E">
      <w:headerReference w:type="default" r:id="rId15"/>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303" w:rsidRDefault="008F1303" w:rsidP="00310E2E">
      <w:pPr>
        <w:spacing w:line="240" w:lineRule="auto"/>
      </w:pPr>
      <w:r>
        <w:separator/>
      </w:r>
    </w:p>
  </w:endnote>
  <w:endnote w:type="continuationSeparator" w:id="1">
    <w:p w:rsidR="008F1303" w:rsidRDefault="008F1303" w:rsidP="00310E2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303" w:rsidRDefault="008F1303" w:rsidP="00310E2E">
      <w:pPr>
        <w:spacing w:line="240" w:lineRule="auto"/>
      </w:pPr>
      <w:r>
        <w:separator/>
      </w:r>
    </w:p>
  </w:footnote>
  <w:footnote w:type="continuationSeparator" w:id="1">
    <w:p w:rsidR="008F1303" w:rsidRDefault="008F1303" w:rsidP="00310E2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50A" w:rsidRDefault="0014050A">
    <w:pPr>
      <w:pStyle w:val="12"/>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310E2E"/>
    <w:rsid w:val="0014050A"/>
    <w:rsid w:val="00310E2E"/>
    <w:rsid w:val="004559A6"/>
    <w:rsid w:val="004929E3"/>
    <w:rsid w:val="005735FD"/>
    <w:rsid w:val="008F1303"/>
    <w:rsid w:val="00E473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DC1321"/>
    <w:pPr>
      <w:keepNext/>
      <w:jc w:val="both"/>
      <w:outlineLvl w:val="0"/>
    </w:pPr>
    <w:rPr>
      <w:i/>
    </w:rPr>
  </w:style>
  <w:style w:type="paragraph" w:customStyle="1" w:styleId="21">
    <w:name w:val="Заголовок 21"/>
    <w:basedOn w:val="a"/>
    <w:qFormat/>
    <w:rsid w:val="00DC1321"/>
    <w:pPr>
      <w:keepNext/>
      <w:jc w:val="center"/>
      <w:outlineLvl w:val="1"/>
    </w:pPr>
    <w:rPr>
      <w:b/>
      <w:bCs/>
    </w:rPr>
  </w:style>
  <w:style w:type="paragraph" w:customStyle="1" w:styleId="41">
    <w:name w:val="Заголовок 41"/>
    <w:basedOn w:val="a"/>
    <w:link w:val="4"/>
    <w:qFormat/>
    <w:rsid w:val="00AB6517"/>
    <w:pPr>
      <w:keepNext/>
      <w:spacing w:before="240" w:after="60"/>
      <w:outlineLvl w:val="3"/>
    </w:pPr>
    <w:rPr>
      <w:rFonts w:ascii="Calibri" w:hAnsi="Calibri"/>
      <w:b/>
      <w:bCs/>
      <w:szCs w:val="28"/>
    </w:rPr>
  </w:style>
  <w:style w:type="character" w:styleId="a3">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4">
    <w:name w:val="Strong"/>
    <w:uiPriority w:val="22"/>
    <w:qFormat/>
    <w:rsid w:val="00CF468E"/>
    <w:rPr>
      <w:b/>
      <w:bCs/>
    </w:rPr>
  </w:style>
  <w:style w:type="character" w:customStyle="1" w:styleId="a5">
    <w:name w:val="Основной текст_"/>
    <w:link w:val="1"/>
    <w:qFormat/>
    <w:rsid w:val="002D796B"/>
    <w:rPr>
      <w:sz w:val="27"/>
      <w:szCs w:val="27"/>
      <w:lang w:bidi="ar-SA"/>
    </w:rPr>
  </w:style>
  <w:style w:type="character" w:customStyle="1" w:styleId="2">
    <w:name w:val="Основной текст с отступом 2 Знак"/>
    <w:link w:val="20"/>
    <w:qFormat/>
    <w:rsid w:val="00D95C7A"/>
    <w:rPr>
      <w:sz w:val="28"/>
    </w:rPr>
  </w:style>
  <w:style w:type="character" w:customStyle="1" w:styleId="4">
    <w:name w:val="Заголовок 4 Знак"/>
    <w:link w:val="41"/>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310E2E"/>
    <w:rPr>
      <w:rFonts w:eastAsia="Times New Roman" w:cs="Times New Roman"/>
    </w:rPr>
  </w:style>
  <w:style w:type="character" w:customStyle="1" w:styleId="ListLabel2">
    <w:name w:val="ListLabel 2"/>
    <w:qFormat/>
    <w:rsid w:val="00310E2E"/>
    <w:rPr>
      <w:rFonts w:eastAsia="Times New Roman" w:cs="Times New Roman"/>
    </w:rPr>
  </w:style>
  <w:style w:type="character" w:customStyle="1" w:styleId="ListLabel3">
    <w:name w:val="ListLabel 3"/>
    <w:qFormat/>
    <w:rsid w:val="00310E2E"/>
    <w:rPr>
      <w:rFonts w:eastAsia="Times New Roman" w:cs="Times New Roman"/>
    </w:rPr>
  </w:style>
  <w:style w:type="character" w:customStyle="1" w:styleId="ListLabel4">
    <w:name w:val="ListLabel 4"/>
    <w:qFormat/>
    <w:rsid w:val="00310E2E"/>
    <w:rPr>
      <w:rFonts w:eastAsia="Times New Roman" w:cs="Times New Roman"/>
    </w:rPr>
  </w:style>
  <w:style w:type="character" w:customStyle="1" w:styleId="ListLabel5">
    <w:name w:val="ListLabel 5"/>
    <w:qFormat/>
    <w:rsid w:val="00310E2E"/>
    <w:rPr>
      <w:rFonts w:cs="Courier New"/>
    </w:rPr>
  </w:style>
  <w:style w:type="character" w:customStyle="1" w:styleId="ListLabel6">
    <w:name w:val="ListLabel 6"/>
    <w:qFormat/>
    <w:rsid w:val="00310E2E"/>
    <w:rPr>
      <w:rFonts w:cs="Courier New"/>
    </w:rPr>
  </w:style>
  <w:style w:type="character" w:customStyle="1" w:styleId="ListLabel7">
    <w:name w:val="ListLabel 7"/>
    <w:qFormat/>
    <w:rsid w:val="00310E2E"/>
    <w:rPr>
      <w:rFonts w:cs="Courier New"/>
    </w:rPr>
  </w:style>
  <w:style w:type="paragraph" w:customStyle="1" w:styleId="a7">
    <w:name w:val="Заголовок"/>
    <w:basedOn w:val="a"/>
    <w:next w:val="a8"/>
    <w:qFormat/>
    <w:rsid w:val="00310E2E"/>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310E2E"/>
    <w:rPr>
      <w:rFonts w:cs="Arial"/>
    </w:rPr>
  </w:style>
  <w:style w:type="paragraph" w:customStyle="1" w:styleId="10">
    <w:name w:val="Название объекта1"/>
    <w:basedOn w:val="a"/>
    <w:qFormat/>
    <w:rsid w:val="00310E2E"/>
    <w:pPr>
      <w:suppressLineNumbers/>
      <w:spacing w:before="120" w:after="120"/>
    </w:pPr>
    <w:rPr>
      <w:rFonts w:cs="Arial"/>
      <w:i/>
      <w:iCs/>
      <w:sz w:val="24"/>
      <w:szCs w:val="24"/>
    </w:rPr>
  </w:style>
  <w:style w:type="paragraph" w:styleId="aa">
    <w:name w:val="index heading"/>
    <w:basedOn w:val="a"/>
    <w:qFormat/>
    <w:rsid w:val="00310E2E"/>
    <w:pPr>
      <w:suppressLineNumbers/>
    </w:pPr>
    <w:rPr>
      <w:rFonts w:cs="Arial"/>
    </w:rPr>
  </w:style>
  <w:style w:type="paragraph" w:styleId="ab">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sz w:val="28"/>
    </w:rPr>
  </w:style>
  <w:style w:type="paragraph" w:styleId="ac">
    <w:name w:val="Title"/>
    <w:basedOn w:val="a"/>
    <w:qFormat/>
    <w:rsid w:val="00DC1321"/>
    <w:pPr>
      <w:jc w:val="center"/>
    </w:pPr>
    <w:rPr>
      <w:b/>
    </w:rPr>
  </w:style>
  <w:style w:type="paragraph" w:customStyle="1" w:styleId="12">
    <w:name w:val="Верхний колонтитул1"/>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sz w:val="16"/>
      <w:szCs w:val="16"/>
    </w:rPr>
  </w:style>
  <w:style w:type="paragraph" w:styleId="3">
    <w:name w:val="Body Text Indent 3"/>
    <w:basedOn w:val="a"/>
    <w:qFormat/>
    <w:rsid w:val="00DC1321"/>
    <w:pPr>
      <w:spacing w:line="240" w:lineRule="auto"/>
      <w:ind w:firstLine="708"/>
      <w:jc w:val="both"/>
    </w:pPr>
    <w:rPr>
      <w:szCs w:val="24"/>
    </w:rPr>
  </w:style>
  <w:style w:type="paragraph" w:styleId="20">
    <w:name w:val="Body Text Indent 2"/>
    <w:basedOn w:val="a"/>
    <w:link w:val="2"/>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d">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13">
    <w:name w:val="Нижний колонтитул1"/>
    <w:basedOn w:val="a"/>
    <w:rsid w:val="00DC1321"/>
    <w:pPr>
      <w:tabs>
        <w:tab w:val="center" w:pos="4677"/>
        <w:tab w:val="right" w:pos="9355"/>
      </w:tabs>
    </w:pPr>
  </w:style>
  <w:style w:type="paragraph" w:customStyle="1" w:styleId="ae">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sz w:val="16"/>
      <w:szCs w:val="16"/>
    </w:rPr>
  </w:style>
  <w:style w:type="paragraph" w:customStyle="1" w:styleId="ConsPlusNormal">
    <w:name w:val="ConsPlusNormal"/>
    <w:uiPriority w:val="99"/>
    <w:qFormat/>
    <w:rsid w:val="00DC1321"/>
    <w:pPr>
      <w:ind w:firstLine="720"/>
    </w:pPr>
    <w:rPr>
      <w:rFonts w:ascii="Arial" w:hAnsi="Arial"/>
      <w:sz w:val="28"/>
    </w:rPr>
  </w:style>
  <w:style w:type="paragraph" w:styleId="af">
    <w:name w:val="Balloon Text"/>
    <w:basedOn w:val="a"/>
    <w:semiHidden/>
    <w:qFormat/>
    <w:rsid w:val="00DC1321"/>
    <w:rPr>
      <w:rFonts w:ascii="Tahoma" w:hAnsi="Tahoma" w:cs="Tahoma"/>
      <w:sz w:val="16"/>
      <w:szCs w:val="16"/>
    </w:rPr>
  </w:style>
  <w:style w:type="paragraph" w:styleId="af0">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sz w:val="28"/>
    </w:rPr>
  </w:style>
  <w:style w:type="paragraph" w:customStyle="1" w:styleId="af1">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2">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3">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5">
    <w:name w:val="Знак"/>
    <w:basedOn w:val="a"/>
    <w:qFormat/>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sz w:val="28"/>
    </w:rPr>
  </w:style>
  <w:style w:type="paragraph" w:customStyle="1" w:styleId="14">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b"/>
    <w:qFormat/>
    <w:rsid w:val="00B964DF"/>
    <w:pPr>
      <w:spacing w:after="120" w:line="240" w:lineRule="auto"/>
      <w:ind w:left="283" w:firstLine="210"/>
      <w:jc w:val="left"/>
    </w:pPr>
    <w:rPr>
      <w:sz w:val="24"/>
      <w:szCs w:val="24"/>
    </w:rPr>
  </w:style>
  <w:style w:type="paragraph" w:customStyle="1" w:styleId="1">
    <w:name w:val="Знак Знак Знак Знак Знак Знак Знак Знак Знак Знак Знак Знак Знак Знак1 Знак"/>
    <w:basedOn w:val="a"/>
    <w:link w:val="a5"/>
    <w:qFormat/>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c">
    <w:name w:val="Список простой"/>
    <w:basedOn w:val="a"/>
    <w:qFormat/>
    <w:rsid w:val="00C00F66"/>
    <w:pPr>
      <w:tabs>
        <w:tab w:val="left"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5">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0">
    <w:name w:val="ЭЭГ"/>
    <w:basedOn w:val="a"/>
    <w:qFormat/>
    <w:rsid w:val="00F5674E"/>
    <w:pPr>
      <w:jc w:val="both"/>
    </w:pPr>
    <w:rPr>
      <w:sz w:val="24"/>
      <w:szCs w:val="24"/>
    </w:rPr>
  </w:style>
  <w:style w:type="paragraph" w:styleId="aff1">
    <w:name w:val="No Spacing"/>
    <w:uiPriority w:val="1"/>
    <w:qFormat/>
    <w:rsid w:val="00A40B5A"/>
    <w:pPr>
      <w:ind w:firstLine="720"/>
    </w:pPr>
    <w:rPr>
      <w:sz w:val="28"/>
    </w:rPr>
  </w:style>
  <w:style w:type="paragraph" w:customStyle="1" w:styleId="Default">
    <w:name w:val="Default"/>
    <w:qFormat/>
    <w:rsid w:val="00C650F4"/>
    <w:rPr>
      <w:color w:val="000000"/>
      <w:sz w:val="24"/>
      <w:szCs w:val="24"/>
    </w:rPr>
  </w:style>
  <w:style w:type="paragraph" w:customStyle="1" w:styleId="aff2">
    <w:name w:val="Содержимое врезки"/>
    <w:basedOn w:val="a"/>
    <w:qFormat/>
    <w:rsid w:val="00310E2E"/>
  </w:style>
  <w:style w:type="table" w:styleId="aff3">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
    <w:link w:val="aff5"/>
    <w:rsid w:val="0014050A"/>
    <w:pPr>
      <w:tabs>
        <w:tab w:val="center" w:pos="4677"/>
        <w:tab w:val="right" w:pos="9355"/>
      </w:tabs>
      <w:spacing w:line="240" w:lineRule="auto"/>
    </w:pPr>
  </w:style>
  <w:style w:type="character" w:customStyle="1" w:styleId="aff5">
    <w:name w:val="Верхний колонтитул Знак"/>
    <w:basedOn w:val="a0"/>
    <w:link w:val="aff4"/>
    <w:rsid w:val="0014050A"/>
    <w:rPr>
      <w:sz w:val="28"/>
    </w:rPr>
  </w:style>
  <w:style w:type="paragraph" w:styleId="aff6">
    <w:name w:val="footer"/>
    <w:basedOn w:val="a"/>
    <w:link w:val="aff7"/>
    <w:rsid w:val="0014050A"/>
    <w:pPr>
      <w:tabs>
        <w:tab w:val="center" w:pos="4677"/>
        <w:tab w:val="right" w:pos="9355"/>
      </w:tabs>
      <w:spacing w:line="240" w:lineRule="auto"/>
    </w:pPr>
  </w:style>
  <w:style w:type="character" w:customStyle="1" w:styleId="aff7">
    <w:name w:val="Нижний колонтитул Знак"/>
    <w:basedOn w:val="a0"/>
    <w:link w:val="aff6"/>
    <w:rsid w:val="0014050A"/>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base.garant.ru/71937200/"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7193720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ase.garant.ru/10103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2.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4.xml><?xml version="1.0" encoding="utf-8"?>
<ds:datastoreItem xmlns:ds="http://schemas.openxmlformats.org/officeDocument/2006/customXml" ds:itemID="{22FAD319-F300-4B36-A23E-8E5D2F02A401}">
  <ds:schemaRefs>
    <ds:schemaRef ds:uri="http://schemas.openxmlformats.org/officeDocument/2006/bibliography"/>
  </ds:schemaRefs>
</ds:datastoreItem>
</file>

<file path=customXml/itemProps5.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6.xml><?xml version="1.0" encoding="utf-8"?>
<ds:datastoreItem xmlns:ds="http://schemas.openxmlformats.org/officeDocument/2006/customXml" ds:itemID="{9FD3267D-0CAC-46DE-AC10-178AA02181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7</Pages>
  <Words>2234</Words>
  <Characters>12737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
  <LinksUpToDate>false</LinksUpToDate>
  <CharactersWithSpaces>14942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 1</cp:lastModifiedBy>
  <cp:revision>98</cp:revision>
  <cp:lastPrinted>2013-11-12T12:54:00Z</cp:lastPrinted>
  <dcterms:created xsi:type="dcterms:W3CDTF">2013-10-01T07:19:00Z</dcterms:created>
  <dcterms:modified xsi:type="dcterms:W3CDTF">2018-12-06T13:03:00Z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dlc_DocId">
    <vt:lpwstr>XXJ7TYMEEKJ2-346-10</vt:lpwstr>
  </property>
  <property fmtid="{D5CDD505-2E9C-101B-9397-08002B2CF9AE}" pid="9" name="_dlc_DocIdItemGuid">
    <vt:lpwstr>a7935e74-337c-4b82-afe1-0b2110670c2b</vt:lpwstr>
  </property>
  <property fmtid="{D5CDD505-2E9C-101B-9397-08002B2CF9AE}" pid="10" name="_dlc_DocIdUrl">
    <vt:lpwstr>https://vip.gov.mari.ru/minfin/_layouts/DocIdRedir.aspx?ID=XXJ7TYMEEKJ2-346-10, XXJ7TYMEEKJ2-346-10</vt:lpwstr>
  </property>
</Properties>
</file>